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Subtitle"/>
        <w:spacing w:line="240" w:lineRule="auto"/>
        <w:rPr>
          <w:b w:val="1"/>
          <w:sz w:val="26"/>
          <w:szCs w:val="26"/>
        </w:rPr>
      </w:pPr>
      <w:bookmarkStart w:colFirst="0" w:colLast="0" w:name="_rxo82diyrle7" w:id="0"/>
      <w:bookmarkEnd w:id="0"/>
      <w:r w:rsidDel="00000000" w:rsidR="00000000" w:rsidRPr="00000000">
        <w:rPr>
          <w:b w:val="1"/>
          <w:sz w:val="26"/>
          <w:szCs w:val="26"/>
          <w:rtl w:val="0"/>
        </w:rPr>
        <w:t xml:space="preserve">RELAZIONE PER L’ADOZIONE </w:t>
      </w:r>
    </w:p>
    <w:p w:rsidR="00000000" w:rsidDel="00000000" w:rsidP="00000000" w:rsidRDefault="00000000" w:rsidRPr="00000000" w14:paraId="00000002">
      <w:pPr>
        <w:pStyle w:val="Title"/>
        <w:spacing w:line="240" w:lineRule="auto"/>
        <w:rPr>
          <w:b w:val="1"/>
          <w:sz w:val="48"/>
          <w:szCs w:val="48"/>
        </w:rPr>
      </w:pPr>
      <w:bookmarkStart w:colFirst="0" w:colLast="0" w:name="_ddylhy9bsspu" w:id="1"/>
      <w:bookmarkEnd w:id="1"/>
      <w:r w:rsidDel="00000000" w:rsidR="00000000" w:rsidRPr="00000000">
        <w:rPr>
          <w:b w:val="1"/>
          <w:sz w:val="48"/>
          <w:szCs w:val="48"/>
          <w:rtl w:val="0"/>
        </w:rPr>
        <w:t xml:space="preserve">LETTURE AL CENTRO</w:t>
      </w:r>
    </w:p>
    <w:p w:rsidR="00000000" w:rsidDel="00000000" w:rsidP="00000000" w:rsidRDefault="00000000" w:rsidRPr="00000000" w14:paraId="00000003">
      <w:pPr>
        <w:pStyle w:val="Heading3"/>
        <w:spacing w:line="240" w:lineRule="auto"/>
        <w:rPr>
          <w:b w:val="1"/>
          <w:sz w:val="24"/>
          <w:szCs w:val="24"/>
        </w:rPr>
      </w:pPr>
      <w:bookmarkStart w:colFirst="0" w:colLast="0" w:name="_515hg7dxi0dk" w:id="2"/>
      <w:bookmarkEnd w:id="2"/>
      <w:r w:rsidDel="00000000" w:rsidR="00000000" w:rsidRPr="00000000">
        <w:rPr>
          <w:b w:val="1"/>
          <w:sz w:val="24"/>
          <w:szCs w:val="24"/>
          <w:rtl w:val="0"/>
        </w:rPr>
        <w:t xml:space="preserve">SUSSIDIARIO DEI LINGUAGGI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tcBorders>
              <w:top w:color="9fc5e8" w:space="0" w:sz="8" w:val="single"/>
              <w:left w:color="9fc5e8" w:space="0" w:sz="8" w:val="single"/>
              <w:bottom w:color="9fc5e8" w:space="0" w:sz="8" w:val="single"/>
              <w:right w:color="9fc5e8" w:space="0" w:sz="8" w:val="single"/>
            </w:tcBorders>
            <w:shd w:fill="fff2cc" w:val="clear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Codice adozionale classe QUARTA</w:t>
            </w:r>
          </w:p>
        </w:tc>
        <w:tc>
          <w:tcPr>
            <w:tcBorders>
              <w:top w:color="9fc5e8" w:space="0" w:sz="8" w:val="single"/>
              <w:left w:color="9fc5e8" w:space="0" w:sz="8" w:val="single"/>
              <w:bottom w:color="9fc5e8" w:space="0" w:sz="8" w:val="single"/>
              <w:right w:color="9fc5e8" w:space="0" w:sz="8" w:val="single"/>
            </w:tcBorders>
            <w:shd w:fill="c9daf8" w:val="clear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Codice adozionale classe QUINTA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fc5e8" w:space="0" w:sz="8" w:val="single"/>
              <w:left w:color="9fc5e8" w:space="0" w:sz="8" w:val="single"/>
              <w:bottom w:color="9fc5e8" w:space="0" w:sz="8" w:val="single"/>
              <w:right w:color="9fc5e8" w:space="0" w:sz="8" w:val="single"/>
            </w:tcBorders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978-88-8397-830-2</w:t>
            </w:r>
          </w:p>
        </w:tc>
        <w:tc>
          <w:tcPr>
            <w:tcBorders>
              <w:top w:color="9fc5e8" w:space="0" w:sz="8" w:val="single"/>
              <w:left w:color="9fc5e8" w:space="0" w:sz="8" w:val="single"/>
              <w:bottom w:color="9fc5e8" w:space="0" w:sz="8" w:val="single"/>
              <w:right w:color="9fc5e8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978-88-8397-831-9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LETTURE AL CENTRO</w:t>
      </w:r>
      <w:r w:rsidDel="00000000" w:rsidR="00000000" w:rsidRPr="00000000">
        <w:rPr>
          <w:sz w:val="20"/>
          <w:szCs w:val="20"/>
          <w:rtl w:val="0"/>
        </w:rPr>
        <w:t xml:space="preserve"> è uno strumento didattico </w:t>
      </w:r>
      <w:r w:rsidDel="00000000" w:rsidR="00000000" w:rsidRPr="00000000">
        <w:rPr>
          <w:b w:val="1"/>
          <w:sz w:val="20"/>
          <w:szCs w:val="20"/>
          <w:rtl w:val="0"/>
        </w:rPr>
        <w:t xml:space="preserve">efficace</w:t>
      </w:r>
      <w:r w:rsidDel="00000000" w:rsidR="00000000" w:rsidRPr="00000000">
        <w:rPr>
          <w:sz w:val="20"/>
          <w:szCs w:val="20"/>
          <w:rtl w:val="0"/>
        </w:rPr>
        <w:t xml:space="preserve"> per lavorare sulle competenze quali: </w:t>
      </w:r>
      <w:r w:rsidDel="00000000" w:rsidR="00000000" w:rsidRPr="00000000">
        <w:rPr>
          <w:b w:val="1"/>
          <w:sz w:val="20"/>
          <w:szCs w:val="20"/>
          <w:rtl w:val="0"/>
        </w:rPr>
        <w:t xml:space="preserve">ascoltare</w:t>
      </w:r>
      <w:r w:rsidDel="00000000" w:rsidR="00000000" w:rsidRPr="00000000">
        <w:rPr>
          <w:sz w:val="20"/>
          <w:szCs w:val="20"/>
          <w:rtl w:val="0"/>
        </w:rPr>
        <w:t xml:space="preserve">, </w:t>
      </w:r>
      <w:r w:rsidDel="00000000" w:rsidR="00000000" w:rsidRPr="00000000">
        <w:rPr>
          <w:b w:val="1"/>
          <w:sz w:val="20"/>
          <w:szCs w:val="20"/>
          <w:rtl w:val="0"/>
        </w:rPr>
        <w:t xml:space="preserve">leggere</w:t>
      </w:r>
      <w:r w:rsidDel="00000000" w:rsidR="00000000" w:rsidRPr="00000000">
        <w:rPr>
          <w:sz w:val="20"/>
          <w:szCs w:val="20"/>
          <w:rtl w:val="0"/>
        </w:rPr>
        <w:t xml:space="preserve">, </w:t>
      </w:r>
      <w:r w:rsidDel="00000000" w:rsidR="00000000" w:rsidRPr="00000000">
        <w:rPr>
          <w:b w:val="1"/>
          <w:sz w:val="20"/>
          <w:szCs w:val="20"/>
          <w:rtl w:val="0"/>
        </w:rPr>
        <w:t xml:space="preserve">comprendere</w:t>
      </w:r>
      <w:r w:rsidDel="00000000" w:rsidR="00000000" w:rsidRPr="00000000">
        <w:rPr>
          <w:sz w:val="20"/>
          <w:szCs w:val="20"/>
          <w:rtl w:val="0"/>
        </w:rPr>
        <w:t xml:space="preserve">, </w:t>
      </w:r>
      <w:r w:rsidDel="00000000" w:rsidR="00000000" w:rsidRPr="00000000">
        <w:rPr>
          <w:b w:val="1"/>
          <w:sz w:val="20"/>
          <w:szCs w:val="20"/>
          <w:rtl w:val="0"/>
        </w:rPr>
        <w:t xml:space="preserve">parlare</w:t>
      </w:r>
      <w:r w:rsidDel="00000000" w:rsidR="00000000" w:rsidRPr="00000000">
        <w:rPr>
          <w:sz w:val="20"/>
          <w:szCs w:val="20"/>
          <w:rtl w:val="0"/>
        </w:rPr>
        <w:t xml:space="preserve">, </w:t>
      </w:r>
      <w:r w:rsidDel="00000000" w:rsidR="00000000" w:rsidRPr="00000000">
        <w:rPr>
          <w:b w:val="1"/>
          <w:sz w:val="20"/>
          <w:szCs w:val="20"/>
          <w:rtl w:val="0"/>
        </w:rPr>
        <w:t xml:space="preserve">analizzare</w:t>
      </w:r>
      <w:r w:rsidDel="00000000" w:rsidR="00000000" w:rsidRPr="00000000">
        <w:rPr>
          <w:sz w:val="20"/>
          <w:szCs w:val="20"/>
          <w:rtl w:val="0"/>
        </w:rPr>
        <w:t xml:space="preserve">, </w:t>
      </w:r>
      <w:r w:rsidDel="00000000" w:rsidR="00000000" w:rsidRPr="00000000">
        <w:rPr>
          <w:b w:val="1"/>
          <w:sz w:val="20"/>
          <w:szCs w:val="20"/>
          <w:rtl w:val="0"/>
        </w:rPr>
        <w:t xml:space="preserve">scrivere</w:t>
      </w:r>
      <w:r w:rsidDel="00000000" w:rsidR="00000000" w:rsidRPr="00000000">
        <w:rPr>
          <w:sz w:val="20"/>
          <w:szCs w:val="20"/>
          <w:rtl w:val="0"/>
        </w:rPr>
        <w:t xml:space="preserve">, </w:t>
      </w:r>
      <w:r w:rsidDel="00000000" w:rsidR="00000000" w:rsidRPr="00000000">
        <w:rPr>
          <w:b w:val="1"/>
          <w:sz w:val="20"/>
          <w:szCs w:val="20"/>
          <w:rtl w:val="0"/>
        </w:rPr>
        <w:t xml:space="preserve">riflettere sulla lingua </w:t>
      </w:r>
      <w:r w:rsidDel="00000000" w:rsidR="00000000" w:rsidRPr="00000000">
        <w:rPr>
          <w:sz w:val="20"/>
          <w:szCs w:val="20"/>
          <w:rtl w:val="0"/>
        </w:rPr>
        <w:t xml:space="preserve">approfondendo, nel contempo, la conoscenza delle tipologie e dei generi narrativi.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Il Progetto si basa su precise impostazioni metodologiche  quali:  promuovere  il  </w:t>
      </w:r>
      <w:r w:rsidDel="00000000" w:rsidR="00000000" w:rsidRPr="00000000">
        <w:rPr>
          <w:b w:val="1"/>
          <w:sz w:val="20"/>
          <w:szCs w:val="20"/>
          <w:rtl w:val="0"/>
        </w:rPr>
        <w:t xml:space="preserve">piacere  della lettura</w:t>
      </w:r>
      <w:r w:rsidDel="00000000" w:rsidR="00000000" w:rsidRPr="00000000">
        <w:rPr>
          <w:sz w:val="20"/>
          <w:szCs w:val="20"/>
          <w:rtl w:val="0"/>
        </w:rPr>
        <w:t xml:space="preserve">, favorire la motivazione, stimolare gli scambi comunicativi e l’apprendimento collaborativo.</w:t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volumi di letture si caratterizzano per un forte impatto visivo. Le storie diventano un prezioso strumento di consapevolezza emotiva e di crescita interiore oltre a stimolare il pensiero critico e il dialogo.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Per ogni genere testuale, ci sono mappe iniziali di orientamento, </w:t>
      </w:r>
      <w:r w:rsidDel="00000000" w:rsidR="00000000" w:rsidRPr="00000000">
        <w:rPr>
          <w:b w:val="1"/>
          <w:sz w:val="20"/>
          <w:szCs w:val="20"/>
          <w:rtl w:val="0"/>
        </w:rPr>
        <w:t xml:space="preserve">mappe finali </w:t>
      </w:r>
      <w:r w:rsidDel="00000000" w:rsidR="00000000" w:rsidRPr="00000000">
        <w:rPr>
          <w:sz w:val="20"/>
          <w:szCs w:val="20"/>
          <w:rtl w:val="0"/>
        </w:rPr>
        <w:t xml:space="preserve">di riepilogo che schematizzano gli elementi specifici delle diverse forme testuali per il ripasso e relative attività di scrittura guidata su modello per ogni genere e tipologia testuale.</w:t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 ogni volume il </w:t>
      </w:r>
      <w:r w:rsidDel="00000000" w:rsidR="00000000" w:rsidRPr="00000000">
        <w:rPr>
          <w:b w:val="1"/>
          <w:sz w:val="20"/>
          <w:szCs w:val="20"/>
          <w:rtl w:val="0"/>
        </w:rPr>
        <w:t xml:space="preserve">percorso sulle stagioni</w:t>
      </w:r>
      <w:r w:rsidDel="00000000" w:rsidR="00000000" w:rsidRPr="00000000">
        <w:rPr>
          <w:sz w:val="20"/>
          <w:szCs w:val="20"/>
          <w:rtl w:val="0"/>
        </w:rPr>
        <w:t xml:space="preserve"> si aggancia alla natura con suggestioni legate all’arte e alla </w:t>
      </w:r>
      <w:r w:rsidDel="00000000" w:rsidR="00000000" w:rsidRPr="00000000">
        <w:rPr>
          <w:b w:val="1"/>
          <w:sz w:val="20"/>
          <w:szCs w:val="20"/>
          <w:rtl w:val="0"/>
        </w:rPr>
        <w:t xml:space="preserve">Green Mindfulness</w:t>
      </w:r>
      <w:r w:rsidDel="00000000" w:rsidR="00000000" w:rsidRPr="00000000">
        <w:rPr>
          <w:sz w:val="20"/>
          <w:szCs w:val="20"/>
          <w:rtl w:val="0"/>
        </w:rPr>
        <w:t xml:space="preserve"> per risvegliare in ciascun alunno/a il contatto con la natura e rinforzare la consapevolezza di sé, delle proprie emozioni e migliorare la concentrazione.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Arricchiscono l’offerta formativa i racconti inediti di Giuseppe Bordi e la sezione dedicata ad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Amnesty</w:t>
      </w:r>
      <w:r w:rsidDel="00000000" w:rsidR="00000000" w:rsidRPr="00000000">
        <w:rPr>
          <w:sz w:val="20"/>
          <w:szCs w:val="20"/>
          <w:rtl w:val="0"/>
        </w:rPr>
        <w:t xml:space="preserve"> (organizzazione in difesa dei diritti umani nel mondo).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volumi di LETTURE AL CENTRO propongono pagine di </w:t>
      </w:r>
      <w:r w:rsidDel="00000000" w:rsidR="00000000" w:rsidRPr="00000000">
        <w:rPr>
          <w:b w:val="1"/>
          <w:sz w:val="20"/>
          <w:szCs w:val="20"/>
          <w:rtl w:val="0"/>
        </w:rPr>
        <w:t xml:space="preserve">verifica</w:t>
      </w:r>
      <w:r w:rsidDel="00000000" w:rsidR="00000000" w:rsidRPr="00000000">
        <w:rPr>
          <w:sz w:val="20"/>
          <w:szCs w:val="20"/>
          <w:rtl w:val="0"/>
        </w:rPr>
        <w:t xml:space="preserve"> completate da strumenti di autovalutazione per aiutare gli alunni e le alunne a sviluppare consapevolezza nella costruzione del proprio percorso di apprendimento.</w:t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Completano il Progetto i volumi di </w:t>
      </w:r>
      <w:r w:rsidDel="00000000" w:rsidR="00000000" w:rsidRPr="00000000">
        <w:rPr>
          <w:b w:val="1"/>
          <w:sz w:val="20"/>
          <w:szCs w:val="20"/>
          <w:rtl w:val="0"/>
        </w:rPr>
        <w:t xml:space="preserve">grammatica</w:t>
      </w:r>
      <w:r w:rsidDel="00000000" w:rsidR="00000000" w:rsidRPr="00000000">
        <w:rPr>
          <w:sz w:val="20"/>
          <w:szCs w:val="20"/>
          <w:rtl w:val="0"/>
        </w:rPr>
        <w:t xml:space="preserve"> con tantissimi esercizi caratterizzati da una forte gradualità, mappe di ripasso e dettati ortografici per una didattica inclusiva. Chiude  ciascun volume  il quaderno degli esercizi e una sezione </w:t>
      </w:r>
      <w:r w:rsidDel="00000000" w:rsidR="00000000" w:rsidRPr="00000000">
        <w:rPr>
          <w:b w:val="1"/>
          <w:sz w:val="20"/>
          <w:szCs w:val="20"/>
          <w:rtl w:val="0"/>
        </w:rPr>
        <w:t xml:space="preserve">INVALSI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</w:t>
      </w:r>
      <w:r w:rsidDel="00000000" w:rsidR="00000000" w:rsidRPr="00000000">
        <w:rPr>
          <w:b w:val="1"/>
          <w:sz w:val="20"/>
          <w:szCs w:val="20"/>
          <w:rtl w:val="0"/>
        </w:rPr>
        <w:t xml:space="preserve">quaderni di scrittura</w:t>
      </w:r>
      <w:r w:rsidDel="00000000" w:rsidR="00000000" w:rsidRPr="00000000">
        <w:rPr>
          <w:sz w:val="20"/>
          <w:szCs w:val="20"/>
          <w:rtl w:val="0"/>
        </w:rPr>
        <w:t xml:space="preserve"> propongono percorsi guidati per apprendere e applicare le strategie  di produzione scritta. Le attività seguono le varie tipologie testuali e generi narrativi proposti nell’antologia, con un’attenzione particolare alle tecniche per riassumere.</w:t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Il volume biennale di </w:t>
      </w:r>
      <w:r w:rsidDel="00000000" w:rsidR="00000000" w:rsidRPr="00000000">
        <w:rPr>
          <w:b w:val="1"/>
          <w:sz w:val="20"/>
          <w:szCs w:val="20"/>
          <w:rtl w:val="0"/>
        </w:rPr>
        <w:t xml:space="preserve">Arte e Musica</w:t>
      </w:r>
      <w:r w:rsidDel="00000000" w:rsidR="00000000" w:rsidRPr="00000000">
        <w:rPr>
          <w:sz w:val="20"/>
          <w:szCs w:val="20"/>
          <w:rtl w:val="0"/>
        </w:rPr>
        <w:t xml:space="preserve"> accompagna gli alunni e le alunne alla scoperta dei linguaggi espressivi. La sezione iniziale è dedicata alla Costituzione a colori, nasce dall’esigenza di far riflettere gli alunni e le alunne, attraverso le opere d’arte, sui valori che ispirarono la </w:t>
      </w:r>
      <w:r w:rsidDel="00000000" w:rsidR="00000000" w:rsidRPr="00000000">
        <w:rPr>
          <w:b w:val="1"/>
          <w:sz w:val="20"/>
          <w:szCs w:val="20"/>
          <w:rtl w:val="0"/>
        </w:rPr>
        <w:t xml:space="preserve">nostra</w:t>
      </w:r>
      <w:r w:rsidDel="00000000" w:rsidR="00000000" w:rsidRPr="00000000">
        <w:rPr>
          <w:sz w:val="20"/>
          <w:szCs w:val="20"/>
          <w:rtl w:val="0"/>
        </w:rPr>
        <w:t xml:space="preserve"> Costituzione. Le attività vengono riprese e ampliate nella</w:t>
      </w:r>
      <w:r w:rsidDel="00000000" w:rsidR="00000000" w:rsidRPr="00000000">
        <w:rPr>
          <w:b w:val="1"/>
          <w:sz w:val="20"/>
          <w:szCs w:val="20"/>
          <w:rtl w:val="0"/>
        </w:rPr>
        <w:t xml:space="preserve"> Guida per l’insegnante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volumi </w:t>
      </w:r>
      <w:r w:rsidDel="00000000" w:rsidR="00000000" w:rsidRPr="00000000">
        <w:rPr>
          <w:b w:val="1"/>
          <w:sz w:val="20"/>
          <w:szCs w:val="20"/>
          <w:rtl w:val="0"/>
        </w:rPr>
        <w:t xml:space="preserve">Verifiche al centro</w:t>
      </w:r>
      <w:r w:rsidDel="00000000" w:rsidR="00000000" w:rsidRPr="00000000">
        <w:rPr>
          <w:sz w:val="20"/>
          <w:szCs w:val="20"/>
          <w:rtl w:val="0"/>
        </w:rPr>
        <w:t xml:space="preserve"> raccolgono Prove di ingresso, intermedie e finali.</w:t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 tutte le schede è presente l’obiettivo di apprendimento di cui si verifica l’acquisizione. I volumi si completano con le Prove INVALSI.</w:t>
      </w:r>
    </w:p>
    <w:sectPr>
      <w:foot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jc w:val="center"/>
      <w:rPr/>
    </w:pPr>
    <w:r w:rsidDel="00000000" w:rsidR="00000000" w:rsidRPr="00000000">
      <w:rPr>
        <w:sz w:val="20"/>
        <w:szCs w:val="20"/>
      </w:rPr>
      <w:drawing>
        <wp:inline distB="114300" distT="114300" distL="114300" distR="114300">
          <wp:extent cx="765181" cy="765181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5181" cy="76518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